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A89" w:rsidRPr="00FC0A89" w:rsidRDefault="00FC0A89" w:rsidP="00FC0A89">
      <w:pPr>
        <w:spacing w:line="276" w:lineRule="auto"/>
        <w:jc w:val="center"/>
        <w:rPr>
          <w:rFonts w:ascii="Calibri" w:eastAsia="Calibri" w:hAnsi="Calibri"/>
          <w:b/>
          <w:color w:val="auto"/>
          <w:szCs w:val="24"/>
          <w:lang w:eastAsia="en-US"/>
        </w:rPr>
      </w:pPr>
      <w:r w:rsidRPr="00FC0A89">
        <w:rPr>
          <w:rFonts w:ascii="Calibri" w:eastAsia="Calibri" w:hAnsi="Calibri"/>
          <w:b/>
          <w:color w:val="auto"/>
          <w:szCs w:val="24"/>
          <w:lang w:eastAsia="en-US"/>
        </w:rPr>
        <w:t>Rencisto, zanim złożysz wniosek o emeryturę, sprawdź czy będzie Ci się to opłacało</w:t>
      </w:r>
    </w:p>
    <w:p w:rsidR="00FC0A89" w:rsidRPr="00FC0A89" w:rsidRDefault="00FC0A89" w:rsidP="00FC0A89">
      <w:pPr>
        <w:spacing w:line="276" w:lineRule="auto"/>
        <w:jc w:val="both"/>
        <w:rPr>
          <w:rFonts w:ascii="Calibri" w:eastAsia="Calibri" w:hAnsi="Calibri"/>
          <w:b/>
          <w:color w:val="auto"/>
          <w:szCs w:val="24"/>
          <w:lang w:eastAsia="en-US"/>
        </w:rPr>
      </w:pPr>
    </w:p>
    <w:p w:rsidR="00FC0A89" w:rsidRPr="00FC0A89" w:rsidRDefault="00FC0A89" w:rsidP="00B540DA">
      <w:pPr>
        <w:spacing w:line="360" w:lineRule="auto"/>
        <w:jc w:val="both"/>
        <w:rPr>
          <w:rFonts w:ascii="Calibri" w:eastAsia="Calibri" w:hAnsi="Calibri"/>
          <w:b/>
          <w:color w:val="auto"/>
          <w:szCs w:val="24"/>
          <w:lang w:eastAsia="en-US"/>
        </w:rPr>
      </w:pPr>
      <w:r w:rsidRPr="00FC0A89">
        <w:rPr>
          <w:rFonts w:ascii="Calibri" w:eastAsia="Calibri" w:hAnsi="Calibri"/>
          <w:b/>
          <w:color w:val="auto"/>
          <w:szCs w:val="24"/>
          <w:lang w:eastAsia="en-US"/>
        </w:rPr>
        <w:t xml:space="preserve">Osoby które mają przyznane prawo do renty z tytułu niezdolności do pracy do czasu osiągnięcia podwyższonego wieku emerytalnego lub na stałe i noszą się z zamiarem przejścia na emeryturę w związku z obniżeniem wieku emerytalnego, powinny najpierw skorzystać z porad doradcy emerytalnego. U doradcy powinny sprawdzić, czy wysokość emerytury nie będzie niższa od obecnie pobieranego świadczenia. To ważne, bo w tym przypadku nie działa zasada korzyści i jeśli emerytura </w:t>
      </w:r>
      <w:r>
        <w:rPr>
          <w:rFonts w:ascii="Calibri" w:eastAsia="Calibri" w:hAnsi="Calibri"/>
          <w:b/>
          <w:color w:val="auto"/>
          <w:szCs w:val="24"/>
          <w:lang w:eastAsia="en-US"/>
        </w:rPr>
        <w:t xml:space="preserve">w obniżonym wieku emerytalnym </w:t>
      </w:r>
      <w:r w:rsidRPr="00FC0A89">
        <w:rPr>
          <w:rFonts w:ascii="Calibri" w:eastAsia="Calibri" w:hAnsi="Calibri"/>
          <w:b/>
          <w:color w:val="auto"/>
          <w:szCs w:val="24"/>
          <w:lang w:eastAsia="en-US"/>
        </w:rPr>
        <w:t>będzie niższa od renty, to w takiej wysokości będzie wypłacana.</w:t>
      </w:r>
    </w:p>
    <w:p w:rsidR="00FC0A89" w:rsidRPr="00FC0A89" w:rsidRDefault="00FC0A89" w:rsidP="00B540DA">
      <w:pPr>
        <w:spacing w:line="360" w:lineRule="auto"/>
        <w:jc w:val="both"/>
        <w:rPr>
          <w:rFonts w:ascii="Calibri" w:eastAsia="Calibri" w:hAnsi="Calibri"/>
          <w:b/>
          <w:color w:val="auto"/>
          <w:szCs w:val="24"/>
          <w:lang w:eastAsia="en-US"/>
        </w:rPr>
      </w:pPr>
    </w:p>
    <w:p w:rsidR="00FC0A89" w:rsidRPr="00FC0A89" w:rsidRDefault="00FC0A89" w:rsidP="00B540DA">
      <w:pPr>
        <w:spacing w:line="360" w:lineRule="auto"/>
        <w:jc w:val="both"/>
        <w:rPr>
          <w:rFonts w:ascii="Calibri" w:eastAsia="Calibri" w:hAnsi="Calibri"/>
          <w:color w:val="auto"/>
          <w:szCs w:val="24"/>
          <w:lang w:eastAsia="en-US"/>
        </w:rPr>
      </w:pPr>
      <w:r w:rsidRPr="00FC0A89">
        <w:rPr>
          <w:rFonts w:ascii="Calibri" w:eastAsia="Calibri" w:hAnsi="Calibri"/>
          <w:color w:val="auto"/>
          <w:szCs w:val="24"/>
          <w:lang w:eastAsia="en-US"/>
        </w:rPr>
        <w:t>Doradca wyposażony w specjalny kalkulator emerytalny dokona symulacji i poda prognozowaną wysokość emerytury. Dzięki temu rencista  będzie mógł porównać wysokości świadczeń i zdecydować czy składać wniosek o emeryturę, czy poczekać do osiągnięcia podwyższonego wieku emerytalnego. Po osiągnięciu tego wieku, ZUS przyzna emeryturę z urzędu. Wysokość tej emerytury na pewno nie będzie niższa od pobieranej renty.</w:t>
      </w:r>
    </w:p>
    <w:p w:rsidR="00FC0A89" w:rsidRPr="00FC0A89" w:rsidRDefault="00FC0A89" w:rsidP="00B540DA">
      <w:pPr>
        <w:spacing w:line="360" w:lineRule="auto"/>
        <w:jc w:val="both"/>
        <w:rPr>
          <w:rFonts w:ascii="Calibri" w:eastAsia="Calibri" w:hAnsi="Calibri"/>
          <w:color w:val="auto"/>
          <w:szCs w:val="24"/>
          <w:lang w:eastAsia="en-US"/>
        </w:rPr>
      </w:pPr>
    </w:p>
    <w:p w:rsidR="00FC0A89" w:rsidRPr="00FC0A89" w:rsidRDefault="00FC0A89" w:rsidP="00B540DA">
      <w:pPr>
        <w:spacing w:line="360" w:lineRule="auto"/>
        <w:jc w:val="both"/>
        <w:rPr>
          <w:rFonts w:ascii="Calibri" w:eastAsia="Calibri" w:hAnsi="Calibri"/>
          <w:color w:val="auto"/>
          <w:szCs w:val="24"/>
          <w:lang w:eastAsia="en-US"/>
        </w:rPr>
      </w:pPr>
      <w:r w:rsidRPr="00267786">
        <w:rPr>
          <w:rFonts w:ascii="Calibri" w:eastAsia="Calibri" w:hAnsi="Calibri"/>
          <w:color w:val="auto"/>
          <w:szCs w:val="24"/>
          <w:lang w:eastAsia="en-US"/>
        </w:rPr>
        <w:t>W województwie wielkopolskim z wnioskiem o emeryturę  od obniżonego wieku emerytalnego wystąpić może ponad 10 tysięcy rencistów</w:t>
      </w:r>
      <w:r w:rsidR="00267786" w:rsidRPr="00267786">
        <w:rPr>
          <w:rFonts w:ascii="Calibri" w:eastAsia="Calibri" w:hAnsi="Calibri"/>
          <w:color w:val="auto"/>
          <w:szCs w:val="24"/>
          <w:lang w:eastAsia="en-US"/>
        </w:rPr>
        <w:t xml:space="preserve">. </w:t>
      </w:r>
      <w:r w:rsidRPr="00267786">
        <w:rPr>
          <w:rFonts w:ascii="Calibri" w:eastAsia="Calibri" w:hAnsi="Calibri"/>
          <w:color w:val="auto"/>
          <w:szCs w:val="24"/>
          <w:lang w:eastAsia="en-US"/>
        </w:rPr>
        <w:t>Niedawno m.in. do tych rencistów, ZUS  wysłał informację, że jeśli mają przyznaną rentę do czasu osiągnięcia podwyższonego wieku emerytalnego lub na stałe i chcą przejść na emeryturę od obniżonego wieku emerytalnego, sami muszą złożyć o to wniosek.</w:t>
      </w:r>
      <w:r w:rsidRPr="00FC0A89">
        <w:rPr>
          <w:rFonts w:ascii="Calibri" w:eastAsia="Calibri" w:hAnsi="Calibri"/>
          <w:color w:val="auto"/>
          <w:szCs w:val="24"/>
          <w:lang w:eastAsia="en-US"/>
        </w:rPr>
        <w:t xml:space="preserve"> Wniosek jest potrzebny, ponieważ ustawa zmieniająca przepisy emerytalne, zachowuje prawa do przyznanych już świadczeń do osiągnięcia podwyższonego wieku emerytalnego. </w:t>
      </w:r>
    </w:p>
    <w:p w:rsidR="00FC0A89" w:rsidRPr="00FC0A89" w:rsidRDefault="00FC0A89" w:rsidP="00B540DA">
      <w:pPr>
        <w:spacing w:line="360" w:lineRule="auto"/>
        <w:jc w:val="both"/>
        <w:rPr>
          <w:rFonts w:ascii="Calibri" w:eastAsia="Calibri" w:hAnsi="Calibri"/>
          <w:color w:val="auto"/>
          <w:szCs w:val="24"/>
          <w:lang w:eastAsia="en-US"/>
        </w:rPr>
      </w:pPr>
    </w:p>
    <w:p w:rsidR="00FC0A89" w:rsidRPr="00FC0A89" w:rsidRDefault="00FC0A89" w:rsidP="00B540DA">
      <w:pPr>
        <w:spacing w:line="360" w:lineRule="auto"/>
        <w:jc w:val="both"/>
        <w:rPr>
          <w:rFonts w:ascii="Calibri" w:eastAsia="Calibri" w:hAnsi="Calibri"/>
          <w:color w:val="auto"/>
          <w:szCs w:val="24"/>
          <w:lang w:eastAsia="en-US"/>
        </w:rPr>
      </w:pPr>
      <w:r w:rsidRPr="00FC0A89">
        <w:rPr>
          <w:rFonts w:ascii="Calibri" w:eastAsia="Calibri" w:hAnsi="Calibri"/>
          <w:color w:val="auto"/>
          <w:szCs w:val="24"/>
          <w:lang w:eastAsia="en-US"/>
        </w:rPr>
        <w:t>Emerytura może być oczywiście wyższa od renty, ale nie w każdym przypadku. Osoby, które w młodym wieku przeszły na rentę i mają niewiele okresów składkowych, powinny być szczególnie ostrożne przy składaniu wniosku o emeryturę od obniżonego wieku. Może się bowiem okazać, że na swój własny wniosek, obniżą sobie przy okazji wysokość świadczenia.</w:t>
      </w:r>
    </w:p>
    <w:p w:rsidR="00FC0A89" w:rsidRPr="00FC0A89" w:rsidRDefault="00FC0A89" w:rsidP="00B540DA">
      <w:pPr>
        <w:spacing w:line="360" w:lineRule="auto"/>
        <w:jc w:val="both"/>
        <w:rPr>
          <w:rFonts w:ascii="Calibri" w:eastAsia="Calibri" w:hAnsi="Calibri"/>
          <w:color w:val="auto"/>
          <w:szCs w:val="24"/>
          <w:lang w:eastAsia="en-US"/>
        </w:rPr>
      </w:pPr>
    </w:p>
    <w:p w:rsidR="00FC0A89" w:rsidRPr="00FC0A89" w:rsidRDefault="00FC0A89" w:rsidP="00B540DA">
      <w:pPr>
        <w:spacing w:line="360" w:lineRule="auto"/>
        <w:jc w:val="both"/>
        <w:rPr>
          <w:rFonts w:ascii="Calibri" w:eastAsia="Calibri" w:hAnsi="Calibri"/>
          <w:color w:val="auto"/>
          <w:szCs w:val="24"/>
          <w:lang w:eastAsia="en-US"/>
        </w:rPr>
      </w:pPr>
      <w:r w:rsidRPr="00267786">
        <w:rPr>
          <w:rFonts w:ascii="Calibri" w:eastAsia="Calibri" w:hAnsi="Calibri"/>
          <w:color w:val="auto"/>
          <w:szCs w:val="24"/>
          <w:lang w:eastAsia="en-US"/>
        </w:rPr>
        <w:t xml:space="preserve">Należy tez pamiętać, że nawet po złożeniu wniosku o emeryturę i wydaniu przez ZUS decyzji niekorzystnej pod względem wysokości świadczenia, można jeszcze wycofać wniosek </w:t>
      </w:r>
      <w:r w:rsidRPr="00267786">
        <w:rPr>
          <w:rFonts w:ascii="Calibri" w:eastAsia="Calibri" w:hAnsi="Calibri"/>
          <w:color w:val="auto"/>
          <w:szCs w:val="24"/>
          <w:lang w:eastAsia="en-US"/>
        </w:rPr>
        <w:br/>
      </w:r>
      <w:r w:rsidRPr="00267786">
        <w:rPr>
          <w:rFonts w:ascii="Calibri" w:eastAsia="Calibri" w:hAnsi="Calibri"/>
          <w:color w:val="auto"/>
          <w:szCs w:val="24"/>
          <w:lang w:eastAsia="en-US"/>
        </w:rPr>
        <w:lastRenderedPageBreak/>
        <w:t>i przywrócić poprzedni stan rzeczy</w:t>
      </w:r>
      <w:r w:rsidRPr="00FC0A89">
        <w:rPr>
          <w:rFonts w:ascii="Calibri" w:eastAsia="Calibri" w:hAnsi="Calibri"/>
          <w:color w:val="auto"/>
          <w:szCs w:val="24"/>
          <w:lang w:eastAsia="en-US"/>
        </w:rPr>
        <w:t xml:space="preserve">. Należy się jednak spieszyć, bo prawo do wycofania wniosku przysługuje do czasu uprawomocnienia się decyzji, czyli w ciągu </w:t>
      </w:r>
      <w:r>
        <w:rPr>
          <w:rFonts w:ascii="Calibri" w:eastAsia="Calibri" w:hAnsi="Calibri"/>
          <w:color w:val="auto"/>
          <w:szCs w:val="24"/>
          <w:lang w:eastAsia="en-US"/>
        </w:rPr>
        <w:t>30 dni</w:t>
      </w:r>
      <w:r w:rsidRPr="00FC0A89">
        <w:rPr>
          <w:rFonts w:ascii="Calibri" w:eastAsia="Calibri" w:hAnsi="Calibri"/>
          <w:color w:val="auto"/>
          <w:szCs w:val="24"/>
          <w:lang w:eastAsia="en-US"/>
        </w:rPr>
        <w:t xml:space="preserve"> od jej otrzymania.</w:t>
      </w:r>
    </w:p>
    <w:p w:rsidR="00D01908" w:rsidRDefault="00D01908" w:rsidP="00FC0A89">
      <w:pPr>
        <w:spacing w:line="276" w:lineRule="auto"/>
        <w:rPr>
          <w:rFonts w:asciiTheme="minorHAnsi" w:eastAsiaTheme="minorHAnsi" w:hAnsiTheme="minorHAnsi" w:cstheme="minorBidi"/>
          <w:color w:val="auto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98"/>
        <w:gridCol w:w="1899"/>
        <w:gridCol w:w="1899"/>
        <w:gridCol w:w="1899"/>
        <w:gridCol w:w="1899"/>
      </w:tblGrid>
      <w:tr w:rsidR="00B540DA" w:rsidTr="00B540DA">
        <w:tc>
          <w:tcPr>
            <w:tcW w:w="1898" w:type="dxa"/>
          </w:tcPr>
          <w:p w:rsidR="00B540DA" w:rsidRDefault="00B540DA" w:rsidP="00B540D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Cs w:val="24"/>
              </w:rPr>
            </w:pPr>
          </w:p>
        </w:tc>
        <w:tc>
          <w:tcPr>
            <w:tcW w:w="1899" w:type="dxa"/>
          </w:tcPr>
          <w:p w:rsidR="00B540DA" w:rsidRDefault="00B540DA" w:rsidP="00B540D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Cs w:val="24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Cs w:val="24"/>
              </w:rPr>
              <w:t xml:space="preserve">I Oddział ZUS </w:t>
            </w:r>
          </w:p>
          <w:p w:rsidR="00B540DA" w:rsidRDefault="00B540DA" w:rsidP="00B540D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Cs w:val="24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Cs w:val="24"/>
              </w:rPr>
              <w:t>w Poznaniu</w:t>
            </w:r>
          </w:p>
        </w:tc>
        <w:tc>
          <w:tcPr>
            <w:tcW w:w="1899" w:type="dxa"/>
          </w:tcPr>
          <w:p w:rsidR="00B540DA" w:rsidRDefault="00B540DA" w:rsidP="00B540D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Cs w:val="24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Cs w:val="24"/>
              </w:rPr>
              <w:t xml:space="preserve">II Oddział ZUS </w:t>
            </w:r>
          </w:p>
          <w:p w:rsidR="00B540DA" w:rsidRDefault="00B540DA" w:rsidP="00B540D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Cs w:val="24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Cs w:val="24"/>
              </w:rPr>
              <w:t>w Poznaniu</w:t>
            </w:r>
          </w:p>
        </w:tc>
        <w:tc>
          <w:tcPr>
            <w:tcW w:w="1899" w:type="dxa"/>
          </w:tcPr>
          <w:p w:rsidR="00B540DA" w:rsidRDefault="00B540DA" w:rsidP="00B540D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Cs w:val="24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Cs w:val="24"/>
              </w:rPr>
              <w:t xml:space="preserve">Oddział ZUS </w:t>
            </w:r>
          </w:p>
          <w:p w:rsidR="00B540DA" w:rsidRDefault="00B540DA" w:rsidP="00B540D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Cs w:val="24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Cs w:val="24"/>
              </w:rPr>
              <w:t>w Pile</w:t>
            </w:r>
          </w:p>
        </w:tc>
        <w:tc>
          <w:tcPr>
            <w:tcW w:w="1899" w:type="dxa"/>
          </w:tcPr>
          <w:p w:rsidR="00B540DA" w:rsidRDefault="00B540DA" w:rsidP="00B540D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Cs w:val="24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Cs w:val="24"/>
              </w:rPr>
              <w:t>Oddział ZUS w Ostrowie Wlkp.</w:t>
            </w:r>
          </w:p>
        </w:tc>
      </w:tr>
      <w:tr w:rsidR="00B540DA" w:rsidTr="00B540DA">
        <w:tc>
          <w:tcPr>
            <w:tcW w:w="1898" w:type="dxa"/>
          </w:tcPr>
          <w:p w:rsidR="00B540DA" w:rsidRDefault="00B540DA" w:rsidP="00B540DA">
            <w:pPr>
              <w:spacing w:before="24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Cs w:val="24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Cs w:val="24"/>
              </w:rPr>
              <w:t>Liczba rencistów, którzy w IV kwartale 2017 r. będą mogli przejść z renty na emeryturę</w:t>
            </w:r>
          </w:p>
        </w:tc>
        <w:tc>
          <w:tcPr>
            <w:tcW w:w="1899" w:type="dxa"/>
          </w:tcPr>
          <w:p w:rsidR="00B540DA" w:rsidRPr="00B540DA" w:rsidRDefault="00B540DA" w:rsidP="00B540DA">
            <w:pPr>
              <w:spacing w:before="240" w:line="276" w:lineRule="auto"/>
              <w:jc w:val="center"/>
              <w:rPr>
                <w:rFonts w:asciiTheme="minorHAnsi" w:eastAsiaTheme="minorHAnsi" w:hAnsiTheme="minorHAnsi" w:cstheme="minorBidi"/>
                <w:b/>
                <w:color w:val="auto"/>
                <w:szCs w:val="24"/>
              </w:rPr>
            </w:pPr>
            <w:r w:rsidRPr="00B540DA">
              <w:rPr>
                <w:rFonts w:asciiTheme="minorHAnsi" w:eastAsiaTheme="minorHAnsi" w:hAnsiTheme="minorHAnsi" w:cstheme="minorBidi"/>
                <w:b/>
                <w:color w:val="auto"/>
                <w:szCs w:val="24"/>
              </w:rPr>
              <w:t>1712</w:t>
            </w:r>
          </w:p>
        </w:tc>
        <w:tc>
          <w:tcPr>
            <w:tcW w:w="1899" w:type="dxa"/>
          </w:tcPr>
          <w:p w:rsidR="00B540DA" w:rsidRPr="00B540DA" w:rsidRDefault="00B540DA" w:rsidP="00B540DA">
            <w:pPr>
              <w:spacing w:before="240" w:line="276" w:lineRule="auto"/>
              <w:jc w:val="center"/>
              <w:rPr>
                <w:rFonts w:asciiTheme="minorHAnsi" w:eastAsiaTheme="minorHAnsi" w:hAnsiTheme="minorHAnsi" w:cstheme="minorBidi"/>
                <w:b/>
                <w:color w:val="auto"/>
                <w:szCs w:val="24"/>
              </w:rPr>
            </w:pPr>
            <w:r w:rsidRPr="00B540DA">
              <w:rPr>
                <w:rFonts w:asciiTheme="minorHAnsi" w:eastAsiaTheme="minorHAnsi" w:hAnsiTheme="minorHAnsi" w:cstheme="minorBidi"/>
                <w:b/>
                <w:color w:val="auto"/>
                <w:szCs w:val="24"/>
              </w:rPr>
              <w:t>4285</w:t>
            </w:r>
          </w:p>
        </w:tc>
        <w:tc>
          <w:tcPr>
            <w:tcW w:w="1899" w:type="dxa"/>
          </w:tcPr>
          <w:p w:rsidR="00B540DA" w:rsidRPr="00B540DA" w:rsidRDefault="00B540DA" w:rsidP="00B540DA">
            <w:pPr>
              <w:spacing w:before="240" w:line="276" w:lineRule="auto"/>
              <w:jc w:val="center"/>
              <w:rPr>
                <w:rFonts w:asciiTheme="minorHAnsi" w:eastAsiaTheme="minorHAnsi" w:hAnsiTheme="minorHAnsi" w:cstheme="minorBidi"/>
                <w:b/>
                <w:color w:val="auto"/>
                <w:szCs w:val="24"/>
              </w:rPr>
            </w:pPr>
            <w:r w:rsidRPr="00B540DA">
              <w:rPr>
                <w:rFonts w:asciiTheme="minorHAnsi" w:eastAsiaTheme="minorHAnsi" w:hAnsiTheme="minorHAnsi" w:cstheme="minorBidi"/>
                <w:b/>
                <w:color w:val="auto"/>
                <w:szCs w:val="24"/>
              </w:rPr>
              <w:t>638</w:t>
            </w:r>
          </w:p>
        </w:tc>
        <w:tc>
          <w:tcPr>
            <w:tcW w:w="1899" w:type="dxa"/>
          </w:tcPr>
          <w:p w:rsidR="00B540DA" w:rsidRPr="00B540DA" w:rsidRDefault="00B540DA" w:rsidP="00B540DA">
            <w:pPr>
              <w:spacing w:before="240" w:line="276" w:lineRule="auto"/>
              <w:jc w:val="center"/>
              <w:rPr>
                <w:rFonts w:asciiTheme="minorHAnsi" w:eastAsiaTheme="minorHAnsi" w:hAnsiTheme="minorHAnsi" w:cstheme="minorBidi"/>
                <w:b/>
                <w:color w:val="auto"/>
                <w:szCs w:val="24"/>
              </w:rPr>
            </w:pPr>
            <w:r w:rsidRPr="00B540DA">
              <w:rPr>
                <w:rFonts w:asciiTheme="minorHAnsi" w:eastAsiaTheme="minorHAnsi" w:hAnsiTheme="minorHAnsi" w:cstheme="minorBidi"/>
                <w:b/>
                <w:color w:val="auto"/>
                <w:szCs w:val="24"/>
              </w:rPr>
              <w:t>3582</w:t>
            </w:r>
          </w:p>
        </w:tc>
      </w:tr>
    </w:tbl>
    <w:p w:rsidR="00FC0A89" w:rsidRDefault="00FC0A89" w:rsidP="00B540DA">
      <w:pPr>
        <w:spacing w:line="276" w:lineRule="auto"/>
        <w:jc w:val="center"/>
        <w:rPr>
          <w:rFonts w:asciiTheme="minorHAnsi" w:eastAsiaTheme="minorHAnsi" w:hAnsiTheme="minorHAnsi" w:cstheme="minorBidi"/>
          <w:color w:val="auto"/>
          <w:szCs w:val="24"/>
        </w:rPr>
      </w:pPr>
    </w:p>
    <w:p w:rsidR="00B540DA" w:rsidRDefault="00B540DA" w:rsidP="00B540DA">
      <w:pPr>
        <w:spacing w:line="276" w:lineRule="auto"/>
        <w:jc w:val="center"/>
        <w:rPr>
          <w:rFonts w:asciiTheme="minorHAnsi" w:eastAsiaTheme="minorHAnsi" w:hAnsiTheme="minorHAnsi" w:cstheme="minorBidi"/>
          <w:color w:val="auto"/>
          <w:szCs w:val="24"/>
        </w:rPr>
      </w:pPr>
      <w:bookmarkStart w:id="0" w:name="_GoBack"/>
      <w:bookmarkEnd w:id="0"/>
    </w:p>
    <w:p w:rsidR="00B540DA" w:rsidRPr="00FC0A89" w:rsidRDefault="00B540DA" w:rsidP="00B540DA">
      <w:pPr>
        <w:spacing w:line="276" w:lineRule="auto"/>
        <w:jc w:val="center"/>
        <w:rPr>
          <w:rFonts w:asciiTheme="minorHAnsi" w:eastAsiaTheme="minorHAnsi" w:hAnsiTheme="minorHAnsi" w:cstheme="minorBidi"/>
          <w:color w:val="auto"/>
          <w:szCs w:val="24"/>
        </w:rPr>
      </w:pPr>
    </w:p>
    <w:p w:rsidR="00ED4C3B" w:rsidRPr="00FC0A89" w:rsidRDefault="00ED4C3B" w:rsidP="00FC0A89">
      <w:pPr>
        <w:spacing w:line="276" w:lineRule="auto"/>
        <w:rPr>
          <w:rFonts w:asciiTheme="minorHAnsi" w:eastAsiaTheme="minorHAnsi" w:hAnsiTheme="minorHAnsi" w:cstheme="minorBidi"/>
          <w:color w:val="auto"/>
          <w:szCs w:val="24"/>
        </w:rPr>
      </w:pPr>
      <w:r w:rsidRPr="00FC0A89">
        <w:rPr>
          <w:rFonts w:asciiTheme="minorHAnsi" w:eastAsiaTheme="minorHAnsi" w:hAnsiTheme="minorHAnsi" w:cstheme="minorBidi"/>
          <w:color w:val="auto"/>
          <w:szCs w:val="24"/>
        </w:rPr>
        <w:t>Marlena Nowicka</w:t>
      </w:r>
    </w:p>
    <w:p w:rsidR="00ED4C3B" w:rsidRPr="00FC0A89" w:rsidRDefault="00ED4C3B" w:rsidP="00FC0A89">
      <w:pPr>
        <w:spacing w:line="276" w:lineRule="auto"/>
        <w:rPr>
          <w:rFonts w:asciiTheme="minorHAnsi" w:eastAsiaTheme="minorHAnsi" w:hAnsiTheme="minorHAnsi" w:cstheme="minorBidi"/>
          <w:color w:val="auto"/>
          <w:szCs w:val="24"/>
        </w:rPr>
      </w:pPr>
      <w:r w:rsidRPr="00FC0A89">
        <w:rPr>
          <w:rFonts w:asciiTheme="minorHAnsi" w:eastAsiaTheme="minorHAnsi" w:hAnsiTheme="minorHAnsi" w:cstheme="minorBidi"/>
          <w:color w:val="auto"/>
          <w:szCs w:val="24"/>
        </w:rPr>
        <w:t>regionalna rzeczniczka prasowa ZUS</w:t>
      </w:r>
    </w:p>
    <w:p w:rsidR="00ED4C3B" w:rsidRPr="00FC0A89" w:rsidRDefault="00ED4C3B" w:rsidP="00FC0A89">
      <w:pPr>
        <w:spacing w:line="276" w:lineRule="auto"/>
        <w:rPr>
          <w:rFonts w:asciiTheme="minorHAnsi" w:eastAsiaTheme="minorHAnsi" w:hAnsiTheme="minorHAnsi" w:cstheme="minorBidi"/>
          <w:color w:val="auto"/>
          <w:szCs w:val="24"/>
        </w:rPr>
      </w:pPr>
      <w:r w:rsidRPr="00FC0A89">
        <w:rPr>
          <w:rFonts w:asciiTheme="minorHAnsi" w:eastAsiaTheme="minorHAnsi" w:hAnsiTheme="minorHAnsi" w:cstheme="minorBidi"/>
          <w:color w:val="auto"/>
          <w:szCs w:val="24"/>
        </w:rPr>
        <w:t>w Wielkopolsce</w:t>
      </w:r>
    </w:p>
    <w:sectPr w:rsidR="00ED4C3B" w:rsidRPr="00FC0A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38" w:right="1134" w:bottom="1418" w:left="1418" w:header="709" w:footer="13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9C1" w:rsidRDefault="00D019C1">
      <w:r>
        <w:separator/>
      </w:r>
    </w:p>
  </w:endnote>
  <w:endnote w:type="continuationSeparator" w:id="0">
    <w:p w:rsidR="00D019C1" w:rsidRDefault="00D01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C3B" w:rsidRDefault="00ED4C3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EA7" w:rsidRDefault="003D6DC2">
    <w:pPr>
      <w:jc w:val="center"/>
      <w:rPr>
        <w:sz w:val="20"/>
      </w:rPr>
    </w:pPr>
    <w:r>
      <w:rPr>
        <w:sz w:val="20"/>
      </w:rPr>
      <w:t xml:space="preserve">Strona: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B540DA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 w:rsidR="00B540DA">
      <w:rPr>
        <w:noProof/>
        <w:sz w:val="20"/>
      </w:rPr>
      <w:t>2</w:t>
    </w:r>
    <w:r>
      <w:rPr>
        <w:sz w:val="20"/>
      </w:rPr>
      <w:fldChar w:fldCharType="end"/>
    </w:r>
  </w:p>
  <w:p w:rsidR="001F3EA7" w:rsidRDefault="001F3EA7">
    <w:pPr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EA7" w:rsidRDefault="003D6DC2">
    <w:pPr>
      <w:pStyle w:val="Stopka"/>
      <w:tabs>
        <w:tab w:val="clear" w:pos="4536"/>
      </w:tabs>
    </w:pPr>
    <w:r>
      <w:rPr>
        <w:noProof/>
      </w:rPr>
      <w:drawing>
        <wp:anchor distT="0" distB="0" distL="114300" distR="114300" simplePos="0" relativeHeight="2" behindDoc="0" locked="0" layoutInCell="1" allowOverlap="1" wp14:anchorId="67FD7705" wp14:editId="01CBF242">
          <wp:simplePos x="0" y="0"/>
          <wp:positionH relativeFrom="column">
            <wp:posOffset>3810</wp:posOffset>
          </wp:positionH>
          <wp:positionV relativeFrom="paragraph">
            <wp:posOffset>71755</wp:posOffset>
          </wp:positionV>
          <wp:extent cx="5934075" cy="19050"/>
          <wp:effectExtent l="0" t="0" r="0" b="0"/>
          <wp:wrapNone/>
          <wp:docPr id="6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4075" cy="19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1F3EA7" w:rsidRDefault="003D6DC2">
    <w:pPr>
      <w:pStyle w:val="Stopka"/>
      <w:tabs>
        <w:tab w:val="clear" w:pos="4536"/>
      </w:tabs>
      <w:rPr>
        <w:sz w:val="20"/>
      </w:rPr>
    </w:pPr>
    <w:r>
      <w:tab/>
    </w:r>
  </w:p>
  <w:p w:rsidR="001F3EA7" w:rsidRDefault="003D6DC2">
    <w:pPr>
      <w:pStyle w:val="Stopka"/>
      <w:tabs>
        <w:tab w:val="clear" w:pos="4536"/>
        <w:tab w:val="right" w:pos="9360"/>
      </w:tabs>
      <w:rPr>
        <w:sz w:val="20"/>
      </w:rPr>
    </w:pPr>
    <w:r>
      <w:t xml:space="preserve">www.zus.pl </w:t>
    </w:r>
    <w:r>
      <w:tab/>
    </w:r>
  </w:p>
  <w:p w:rsidR="001F3EA7" w:rsidRDefault="001F3EA7">
    <w:pPr>
      <w:pStyle w:val="Stopka"/>
      <w:tabs>
        <w:tab w:val="left" w:pos="6804"/>
      </w:tabs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9C1" w:rsidRDefault="00D019C1">
      <w:r>
        <w:separator/>
      </w:r>
    </w:p>
  </w:footnote>
  <w:footnote w:type="continuationSeparator" w:id="0">
    <w:p w:rsidR="00D019C1" w:rsidRDefault="00D01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C3B" w:rsidRDefault="00ED4C3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C3B" w:rsidRDefault="00ED4C3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EA7" w:rsidRDefault="003D6DC2">
    <w:pPr>
      <w:pStyle w:val="Nagwek"/>
      <w:tabs>
        <w:tab w:val="clear" w:pos="4536"/>
        <w:tab w:val="clear" w:pos="9072"/>
        <w:tab w:val="right" w:pos="9354"/>
      </w:tabs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3" behindDoc="0" locked="0" layoutInCell="1" allowOverlap="1" wp14:anchorId="6F5F9D20" wp14:editId="421BCDA2">
              <wp:simplePos x="0" y="0"/>
              <wp:positionH relativeFrom="column">
                <wp:posOffset>1143000</wp:posOffset>
              </wp:positionH>
              <wp:positionV relativeFrom="paragraph">
                <wp:posOffset>-28575</wp:posOffset>
              </wp:positionV>
              <wp:extent cx="3886200" cy="675640"/>
              <wp:effectExtent l="0" t="0" r="0" b="0"/>
              <wp:wrapNone/>
              <wp:docPr id="3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86200" cy="675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1F3EA7" w:rsidRDefault="003D6DC2">
                          <w:pPr>
                            <w:jc w:val="both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INFORMACJA  PRASOWA</w:t>
                          </w:r>
                        </w:p>
                        <w:p w:rsidR="001F3EA7" w:rsidRDefault="003D6DC2">
                          <w:r>
                            <w:rPr>
                              <w:sz w:val="28"/>
                            </w:rPr>
                            <w:t>ZAKŁADU  UBEZPIECZEŃ  SPOŁECZNYCH</w:t>
                          </w:r>
                        </w:p>
                      </w:txbxContent>
                    </wps:txbx>
                    <wps:bodyPr wrap="square" lIns="91440" tIns="45720" rIns="91440" bIns="4572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7" o:spid="_x0000_s1026" style="position:absolute;margin-left:90pt;margin-top:-2.25pt;width:306pt;height:53.2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" stroked="f">
              <v:textbox>
                <w:txbxContent>
                  <w:p w:rsidR="001F3EA7" w:rsidRDefault="003D6DC2">
                    <w:pPr>
                      <w:jc w:val="both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INFORMACJA  PRASOWA</w:t>
                    </w:r>
                  </w:p>
                  <w:p w:rsidR="001F3EA7" w:rsidRDefault="003D6DC2">
                    <w:r>
                      <w:rPr>
                        <w:sz w:val="28"/>
                      </w:rPr>
                      <w:t>ZAKŁADU  UBEZPIECZEŃ  SPOŁECZNYCH</w:t>
                    </w:r>
                  </w:p>
                </w:txbxContent>
              </v:textbox>
            </v:rect>
          </w:pict>
        </mc:Fallback>
      </mc:AlternateContent>
    </w:r>
    <w:bookmarkStart w:id="1" w:name="LogoZUS"/>
    <w:bookmarkEnd w:id="1"/>
    <w:r w:rsidR="00170314">
      <w:rPr>
        <w:noProof/>
      </w:rPr>
      <w:drawing>
        <wp:inline distT="0" distB="0" distL="0" distR="0">
          <wp:extent cx="1162050" cy="523875"/>
          <wp:effectExtent l="0" t="0" r="0" b="9525"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5238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"/>
      </w:rPr>
      <w:tab/>
    </w:r>
  </w:p>
  <w:p w:rsidR="001F3EA7" w:rsidRDefault="003D6DC2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ACA72E" wp14:editId="5D9655B1">
          <wp:simplePos x="0" y="0"/>
          <wp:positionH relativeFrom="column">
            <wp:posOffset>9525</wp:posOffset>
          </wp:positionH>
          <wp:positionV relativeFrom="paragraph">
            <wp:posOffset>120015</wp:posOffset>
          </wp:positionV>
          <wp:extent cx="5934075" cy="19050"/>
          <wp:effectExtent l="0" t="0" r="0" b="0"/>
          <wp:wrapNone/>
          <wp:docPr id="5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934075" cy="19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3628A"/>
    <w:multiLevelType w:val="hybridMultilevel"/>
    <w:tmpl w:val="3E84CEF0"/>
    <w:lvl w:ilvl="0" w:tplc="8E54D7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EC57CC7"/>
    <w:multiLevelType w:val="hybridMultilevel"/>
    <w:tmpl w:val="3D928D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967C2F"/>
    <w:multiLevelType w:val="hybridMultilevel"/>
    <w:tmpl w:val="C644B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EA7"/>
    <w:rsid w:val="00024E1B"/>
    <w:rsid w:val="00026366"/>
    <w:rsid w:val="000A7084"/>
    <w:rsid w:val="0010134C"/>
    <w:rsid w:val="00141519"/>
    <w:rsid w:val="00170314"/>
    <w:rsid w:val="00171839"/>
    <w:rsid w:val="00181964"/>
    <w:rsid w:val="00182AA5"/>
    <w:rsid w:val="001E784F"/>
    <w:rsid w:val="001F3EA7"/>
    <w:rsid w:val="002275EA"/>
    <w:rsid w:val="00267786"/>
    <w:rsid w:val="002C3A9E"/>
    <w:rsid w:val="0032312E"/>
    <w:rsid w:val="0035587E"/>
    <w:rsid w:val="00375069"/>
    <w:rsid w:val="003D0EB8"/>
    <w:rsid w:val="003D6DC2"/>
    <w:rsid w:val="00437ED8"/>
    <w:rsid w:val="0047056A"/>
    <w:rsid w:val="004F7B20"/>
    <w:rsid w:val="005141A5"/>
    <w:rsid w:val="005A3A0A"/>
    <w:rsid w:val="005E2B4B"/>
    <w:rsid w:val="006202EB"/>
    <w:rsid w:val="006240B5"/>
    <w:rsid w:val="006A2DA4"/>
    <w:rsid w:val="006D3A46"/>
    <w:rsid w:val="006E3351"/>
    <w:rsid w:val="0079371D"/>
    <w:rsid w:val="007B12A5"/>
    <w:rsid w:val="007B2D39"/>
    <w:rsid w:val="007D5633"/>
    <w:rsid w:val="00821190"/>
    <w:rsid w:val="00826E02"/>
    <w:rsid w:val="00837D98"/>
    <w:rsid w:val="00905775"/>
    <w:rsid w:val="009D55A5"/>
    <w:rsid w:val="009E3FC3"/>
    <w:rsid w:val="00A62EE6"/>
    <w:rsid w:val="00A64FDB"/>
    <w:rsid w:val="00A93539"/>
    <w:rsid w:val="00B16F1D"/>
    <w:rsid w:val="00B540DA"/>
    <w:rsid w:val="00B964DB"/>
    <w:rsid w:val="00C0656F"/>
    <w:rsid w:val="00C17B76"/>
    <w:rsid w:val="00C81887"/>
    <w:rsid w:val="00C9047D"/>
    <w:rsid w:val="00CD1798"/>
    <w:rsid w:val="00D01908"/>
    <w:rsid w:val="00D019C1"/>
    <w:rsid w:val="00D93716"/>
    <w:rsid w:val="00E14974"/>
    <w:rsid w:val="00E80488"/>
    <w:rsid w:val="00EA4FDA"/>
    <w:rsid w:val="00EC4F96"/>
    <w:rsid w:val="00EC7C9B"/>
    <w:rsid w:val="00ED4C3B"/>
    <w:rsid w:val="00F9649D"/>
    <w:rsid w:val="00FB162F"/>
    <w:rsid w:val="00FC0A89"/>
    <w:rsid w:val="00FD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uiPriority w:val="9"/>
    <w:qFormat/>
    <w:rsid w:val="008211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/>
      <w:sz w:val="16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211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basedOn w:val="Normalny"/>
    <w:rsid w:val="00B16F1D"/>
    <w:pPr>
      <w:autoSpaceDE w:val="0"/>
      <w:autoSpaceDN w:val="0"/>
    </w:pPr>
    <w:rPr>
      <w:rFonts w:ascii="Arial" w:eastAsiaTheme="minorHAnsi" w:hAnsi="Arial" w:cs="Arial"/>
      <w:szCs w:val="24"/>
      <w:lang w:eastAsia="en-US"/>
    </w:rPr>
  </w:style>
  <w:style w:type="table" w:styleId="Tabela-Siatka">
    <w:name w:val="Table Grid"/>
    <w:basedOn w:val="Standardowy"/>
    <w:uiPriority w:val="59"/>
    <w:rsid w:val="00B54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uiPriority w:val="9"/>
    <w:qFormat/>
    <w:rsid w:val="008211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/>
      <w:sz w:val="16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211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basedOn w:val="Normalny"/>
    <w:rsid w:val="00B16F1D"/>
    <w:pPr>
      <w:autoSpaceDE w:val="0"/>
      <w:autoSpaceDN w:val="0"/>
    </w:pPr>
    <w:rPr>
      <w:rFonts w:ascii="Arial" w:eastAsiaTheme="minorHAnsi" w:hAnsi="Arial" w:cs="Arial"/>
      <w:szCs w:val="24"/>
      <w:lang w:eastAsia="en-US"/>
    </w:rPr>
  </w:style>
  <w:style w:type="table" w:styleId="Tabela-Siatka">
    <w:name w:val="Table Grid"/>
    <w:basedOn w:val="Standardowy"/>
    <w:uiPriority w:val="59"/>
    <w:rsid w:val="00B54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866749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93822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5</cp:revision>
  <cp:lastPrinted>2017-06-21T07:49:00Z</cp:lastPrinted>
  <dcterms:created xsi:type="dcterms:W3CDTF">2017-08-28T11:28:00Z</dcterms:created>
  <dcterms:modified xsi:type="dcterms:W3CDTF">2017-08-28T11:36:00Z</dcterms:modified>
</cp:coreProperties>
</file>